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44"/>
          <w:szCs w:val="44"/>
          <w:highlight w:val="white"/>
          <w:u w:val="single"/>
          <w:lang w:eastAsia="zh-CN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highlight w:val="white"/>
          <w:lang w:eastAsia="zh-CN"/>
        </w:rPr>
        <w:t>泗洪县第一人民医院信息化建设提升项目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highlight w:val="white"/>
        </w:rPr>
        <w:t>市场调研公告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u w:val="single"/>
          <w:lang w:eastAsia="zh-CN"/>
        </w:rPr>
        <w:t>泗洪县第一人民医院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就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泗洪县第一人民医院信息化建设提升项目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进行市场调研，邀请合格的供应商参与市场调研。有关事项如下：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highlight w:val="white"/>
        </w:rPr>
        <w:t xml:space="preserve">一、项目基本情况 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（一）项目名称：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eastAsia="zh-CN"/>
        </w:rPr>
        <w:t>泗洪县第一人民医院信息化建设提升项目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（二）采购需求：</w:t>
      </w:r>
    </w:p>
    <w:tbl>
      <w:tblPr>
        <w:tblStyle w:val="2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360"/>
        <w:gridCol w:w="3609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4" w:name="_Hlk109058146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标的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主要用途及功能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预算价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泗洪县第一人民医院信息化建设提升项目（分包一）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eastAsia="zh-CN"/>
              </w:rPr>
              <w:t>泗洪县第一人民医院拟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eastAsia="zh-CN"/>
              </w:rPr>
              <w:t>医院信息化建设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eastAsia="zh-CN"/>
              </w:rPr>
              <w:t>相关软硬件设备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val="en-US" w:eastAsia="zh-CN"/>
              </w:rPr>
              <w:t>及为医院相关软硬件设备提供维保服务。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泗洪县第一人民医院信息化建设提升项目（分包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val="en-US" w:eastAsia="zh-CN"/>
              </w:rPr>
              <w:t>主要建设内容为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eastAsia="zh-CN"/>
              </w:rPr>
              <w:t>容灾机房，具体为机房场地建设、电力系统配置、UPS 电源、动力环境监控系统、消防灭火系统配置、新风排烟系统、防雷接地系统、综合布线系统等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泗洪县第一人民医院信息化建设提升项目（分包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white"/>
                <w:lang w:eastAsia="zh-CN"/>
              </w:rPr>
              <w:t>按照电子病历应用系统五级、互联互通成熟度四乙标准提升现有信息化中缺失的软硬件。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136</w:t>
            </w:r>
          </w:p>
        </w:tc>
      </w:tr>
      <w:bookmarkEnd w:id="4"/>
    </w:tbl>
    <w:p>
      <w:pPr>
        <w:spacing w:line="60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highlight w:val="white"/>
        </w:rPr>
        <w:t>二、供应商资格要求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eastAsia="zh-CN"/>
        </w:rPr>
      </w:pPr>
      <w:bookmarkStart w:id="5" w:name="EBd56533e2936846b6ad38869e4b724da4"/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（一）具备《中华人民共和国政府采购法》第二十二条规定条件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eastAsia="zh-CN"/>
        </w:rPr>
        <w:t>。</w:t>
      </w:r>
    </w:p>
    <w:p>
      <w:pPr>
        <w:bidi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（二）落实政府采购政策需满足的资格要求：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无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。</w:t>
      </w:r>
    </w:p>
    <w:p>
      <w:pPr>
        <w:bidi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（三）本项目的特定资格要求：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无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。</w:t>
      </w:r>
    </w:p>
    <w:p>
      <w:pPr>
        <w:bidi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（四）未被列入失信被执行人、重大税收违法案件当事人名单、政府采购严重违法失信行为记录名单。</w:t>
      </w:r>
      <w:bookmarkEnd w:id="5"/>
    </w:p>
    <w:p>
      <w:pPr>
        <w:bidi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三、公告时间</w:t>
      </w:r>
    </w:p>
    <w:p>
      <w:pPr>
        <w:bidi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</w:pPr>
      <w:bookmarkStart w:id="6" w:name="EBd6e08bd78d674b669f89e3eb71dbbd3d"/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日 09</w:t>
      </w:r>
      <w:bookmarkEnd w:id="6"/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00至</w:t>
      </w:r>
      <w:bookmarkStart w:id="7" w:name="EB4a82fe30d91a48338ebb02b9012d939c"/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  <w:t>04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日</w:t>
      </w:r>
      <w:bookmarkEnd w:id="7"/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  <w:t>17:30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。</w:t>
      </w:r>
    </w:p>
    <w:p>
      <w:pPr>
        <w:bidi w:val="0"/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</w:rPr>
        <w:t>供应商在</w:t>
      </w:r>
      <w:r>
        <w:rPr>
          <w:rFonts w:hint="eastAsia" w:ascii="仿宋" w:hAnsi="仿宋" w:eastAsia="仿宋" w:cs="仿宋"/>
          <w:caps w:val="0"/>
          <w:color w:val="auto"/>
          <w:sz w:val="24"/>
          <w:highlight w:val="white"/>
        </w:rPr>
        <w:t>宿迁市政府采购网</w:t>
      </w:r>
      <w:r>
        <w:rPr>
          <w:rFonts w:hint="eastAsia" w:ascii="仿宋" w:hAnsi="仿宋" w:eastAsia="仿宋" w:cs="仿宋"/>
          <w:caps w:val="0"/>
          <w:color w:val="auto"/>
          <w:sz w:val="24"/>
          <w:szCs w:val="28"/>
          <w:highlight w:val="white"/>
        </w:rPr>
        <w:t>、</w:t>
      </w:r>
      <w:r>
        <w:rPr>
          <w:rFonts w:hint="eastAsia" w:ascii="仿宋" w:hAnsi="仿宋" w:eastAsia="仿宋" w:cs="仿宋"/>
          <w:caps w:val="0"/>
          <w:color w:val="auto"/>
          <w:sz w:val="24"/>
          <w:szCs w:val="28"/>
          <w:highlight w:val="white"/>
          <w:lang w:val="en-US" w:eastAsia="zh-CN"/>
        </w:rPr>
        <w:t>宿迁市公共资源交易平台</w:t>
      </w:r>
      <w:r>
        <w:rPr>
          <w:rFonts w:hint="eastAsia" w:ascii="仿宋" w:hAnsi="仿宋" w:eastAsia="仿宋" w:cs="仿宋"/>
          <w:caps w:val="0"/>
          <w:color w:val="auto"/>
          <w:sz w:val="24"/>
          <w:highlight w:val="white"/>
        </w:rPr>
        <w:t>、江苏省财政部门指定的媒体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highlight w:val="white"/>
        </w:rPr>
        <w:t>找到本项目获取相关调研文件。</w:t>
      </w:r>
    </w:p>
    <w:p>
      <w:pPr>
        <w:spacing w:line="48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highlight w:val="white"/>
        </w:rPr>
        <w:t>四、调研提交资料、截止时间和地点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（一）采购需求响应表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144"/>
        <w:gridCol w:w="3472"/>
        <w:gridCol w:w="171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标的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详细功能、技术参数或服务要求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自身优势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参考价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（二）提交证明资料：</w:t>
      </w:r>
    </w:p>
    <w:p>
      <w:pPr>
        <w:spacing w:line="24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</w:t>
      </w:r>
    </w:p>
    <w:p>
      <w:pPr>
        <w:spacing w:line="24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</w:t>
      </w:r>
    </w:p>
    <w:p>
      <w:pPr>
        <w:spacing w:line="24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……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以上资料加盖供应商公章后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现场送达或邮寄采购人（采购代理机构）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，其中明确要求产品制造商提供的调研资料请加盖制造商公章后上传。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（三）提交截止时间：202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04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17:30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（四）供应商应提交截止时间前将响应文件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现场送达或邮寄采购人（采购代理机构）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，逾期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送达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的，采购人不予受理。</w:t>
      </w:r>
    </w:p>
    <w:p>
      <w:pPr>
        <w:spacing w:line="480" w:lineRule="auto"/>
        <w:ind w:firstLine="482" w:firstLineChars="200"/>
        <w:rPr>
          <w:rFonts w:hint="eastAsia" w:ascii="仿宋" w:hAnsi="仿宋" w:eastAsia="仿宋" w:cs="仿宋"/>
          <w:b/>
          <w:bCs/>
          <w:iCs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b/>
          <w:bCs/>
          <w:iCs/>
          <w:color w:val="000000"/>
          <w:sz w:val="24"/>
          <w:szCs w:val="24"/>
          <w:highlight w:val="white"/>
        </w:rPr>
        <w:t>五、本次采购联系方式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采购人信息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名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称：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eastAsia="zh-CN"/>
        </w:rPr>
        <w:t>泗洪县第一人民医院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地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址：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  <w:t>泗洪县建设北路2号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highlight w:val="whit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white"/>
        </w:rPr>
        <w:t>联系方式：0527-80619993</w:t>
      </w:r>
    </w:p>
    <w:bookmarkEnd w:id="0"/>
    <w:bookmarkEnd w:id="1"/>
    <w:bookmarkEnd w:id="2"/>
    <w:bookmarkEnd w:id="3"/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white"/>
          <w:lang w:val="en-US" w:eastAsia="zh-CN"/>
        </w:rPr>
      </w:pP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DQ3Nzk0ZDI3NzZmM2ZmNWViOGFlNTM3MjA5NDAifQ=="/>
  </w:docVars>
  <w:rsids>
    <w:rsidRoot w:val="00000000"/>
    <w:rsid w:val="26157CCB"/>
    <w:rsid w:val="6A2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2024-03-04T08:59:00Z</dcterms:created>
  <dc:creator>Administrator</dc:creator>
  <cp:lastModifiedBy>简单</cp:lastModifiedBy>
  <dcterms:modified xsi:type="dcterms:W3CDTF">2024-03-28T10:26:55Z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5ECF4B42720D4E9BAC1849135FD49870_12</vt:lpwstr>
  </property>
</Properties>
</file>